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2D373F42" w:rsidRDefault="00403CDB" w14:paraId="649BB07B" w14:textId="42746274">
      <w:pPr>
        <w:pStyle w:val="ListParagraph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Segoe UI" w:hAnsi="Segoe UI" w:eastAsia="Segoe UI" w:cs="Segoe UI" w:asciiTheme="minorAscii" w:hAnsiTheme="minorAscii" w:eastAsiaTheme="minorAscii" w:cstheme="minorAscii"/>
          <w:b w:val="1"/>
          <w:bCs w:val="1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</w:t>
      </w:r>
      <w:proofErr w:type="gramEnd"/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AF71BBF" w:rsidRDefault="00403CDB" w14:paraId="43CE43C3" w14:textId="6DA283A0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20D448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5220D448" w:rsidR="5220D448">
        <w:rPr>
          <w:rFonts w:ascii="Calibri" w:hAnsi="Calibri" w:eastAsia="Calibri" w:cs="Calibri"/>
          <w:noProof w:val="0"/>
          <w:sz w:val="22"/>
          <w:szCs w:val="22"/>
          <w:lang w:val="en-US"/>
        </w:rPr>
        <w:t>Module 21: Furniture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570"/>
        <w:gridCol w:w="5369"/>
      </w:tblGrid>
      <w:tr w:rsidRPr="00403CDB" w:rsidR="00403CDB" w:rsidTr="32419EB6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2419EB6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163DC5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220D448" w:rsidR="5220D448">
              <w:rPr>
                <w:rFonts w:ascii="Arial" w:hAnsi="Arial" w:eastAsia="Times New Roman" w:cs="Arial"/>
                <w:sz w:val="24"/>
                <w:szCs w:val="24"/>
              </w:rPr>
              <w:t>Analyze --&gt; furniture options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2419EB6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2419EB6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220D448" w:rsidRDefault="00403CDB" w14:paraId="65D4DF68" w14:textId="23657C51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220D448" w:rsidR="5220D448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Analyze</w:t>
            </w:r>
            <w:r w:rsidRPr="5220D448" w:rsidR="5220D448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5220D448" w:rsidR="5220D448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furniture options</w:t>
            </w:r>
            <w:r w:rsidRPr="5220D448" w:rsidR="5220D448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for decorating residential and commercial spaces.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2419EB6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2419EB6" w14:paraId="44224A6E" w14:textId="77777777">
        <w:trPr>
          <w:trHeight w:val="5355"/>
        </w:trPr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2419EB6" w:rsidRDefault="00403CDB" w14:paraId="172A08A4" w14:textId="29C5D8F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4AF71BBF">
              <w:rPr>
                <w:rFonts w:ascii="Arial" w:hAnsi="Arial" w:eastAsia="Arial" w:cs="Arial"/>
                <w:sz w:val="22"/>
                <w:szCs w:val="22"/>
              </w:rPr>
              <w:t>Vocabulary:</w:t>
            </w:r>
          </w:p>
          <w:p w:rsidRPr="00403CDB" w:rsidR="00403CDB" w:rsidP="32419EB6" w:rsidRDefault="00403CDB" w14:paraId="47686D62" w14:textId="6B53C69A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5220D448">
              <w:rPr>
                <w:rFonts w:ascii="Arial" w:hAnsi="Arial" w:eastAsia="Arial" w:cs="Arial"/>
                <w:sz w:val="22"/>
                <w:szCs w:val="22"/>
              </w:rPr>
              <w:t xml:space="preserve">Common types of furniture (*1): </w:t>
            </w:r>
          </w:p>
          <w:p w:rsidRPr="00403CDB" w:rsidR="00403CDB" w:rsidP="32419EB6" w:rsidRDefault="00403CDB" w14:paraId="3E8CD1E0" w14:textId="54F189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chairs, sofas, tables, desks, beds, workstations, indoor/outdoor</w:t>
            </w:r>
          </w:p>
          <w:p w:rsidRPr="00403CDB" w:rsidR="00403CDB" w:rsidP="32419EB6" w:rsidRDefault="00403CDB" w14:paraId="15DD25C2" w14:textId="52095AA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32419EB6" w:rsidRDefault="00403CDB" w14:paraId="3CE00D7F" w14:textId="06104B4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Furniture selection factors (*2)</w:t>
            </w:r>
            <w:r>
              <w:br/>
            </w: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- e.g., location, durability, source of materials, style, cost, </w:t>
            </w:r>
            <w:proofErr w:type="spellStart"/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, comfort</w:t>
            </w:r>
          </w:p>
          <w:p w:rsidRPr="00403CDB" w:rsidR="00403CDB" w:rsidP="32419EB6" w:rsidRDefault="00403CDB" w14:paraId="08FAF387" w14:textId="5C40146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32419EB6" w:rsidRDefault="00403CDB" w14:paraId="556841AF" w14:textId="7D9A979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Furniture time periods (*3)</w:t>
            </w:r>
          </w:p>
          <w:p w:rsidRPr="00403CDB" w:rsidR="00403CDB" w:rsidP="32419EB6" w:rsidRDefault="00403CDB" w14:paraId="34E5FED1" w14:textId="0B5694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ancient civilizations, Middle Ages, Renaissance, Neo-classical, Modern</w:t>
            </w:r>
          </w:p>
          <w:p w:rsidRPr="00403CDB" w:rsidR="00403CDB" w:rsidP="32419EB6" w:rsidRDefault="00403CDB" w14:paraId="3A6C89AC" w14:textId="25896181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32419EB6" w:rsidRDefault="00403CDB" w14:paraId="14D42F46" w14:textId="1A9B4603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Furniture styles (*4):</w:t>
            </w:r>
          </w:p>
          <w:p w:rsidRPr="00403CDB" w:rsidR="00403CDB" w:rsidP="32419EB6" w:rsidRDefault="00403CDB" w14:paraId="1DE04D1F" w14:textId="4B98F1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e.g., early American, Queen Anne or Shaker) and influences (e.g., Greek, Renaissance or Baroque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2419EB6" w:rsidRDefault="00403CDB" w14:paraId="55032E1D" w14:textId="71E3AB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00403CDB">
              <w:rPr>
                <w:rFonts w:ascii="Arial" w:hAnsi="Arial" w:eastAsia="Arial" w:cs="Arial"/>
                <w:sz w:val="22"/>
                <w:szCs w:val="22"/>
              </w:rPr>
              <w:t>That the selection of furniture can help shape and define space in residential and commercial settings</w:t>
            </w:r>
          </w:p>
          <w:p w:rsidR="2D373F42" w:rsidP="32419EB6" w:rsidRDefault="2D373F42" w14:paraId="0CEED8D3" w14:textId="23F11A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2D373F42">
              <w:rPr>
                <w:rFonts w:ascii="Arial" w:hAnsi="Arial" w:eastAsia="Arial" w:cs="Arial"/>
                <w:sz w:val="22"/>
                <w:szCs w:val="22"/>
              </w:rPr>
              <w:t xml:space="preserve">That furniture standards, quality and features differ </w:t>
            </w:r>
          </w:p>
          <w:p w:rsidR="2D373F42" w:rsidP="32419EB6" w:rsidRDefault="2D373F42" w14:paraId="32470F14" w14:textId="33820B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2D373F42">
              <w:rPr>
                <w:rFonts w:ascii="Arial" w:hAnsi="Arial" w:eastAsia="Arial" w:cs="Arial"/>
                <w:sz w:val="22"/>
                <w:szCs w:val="22"/>
              </w:rPr>
              <w:t xml:space="preserve">That furniture can be purchased new, used </w:t>
            </w:r>
            <w:proofErr w:type="gramStart"/>
            <w:r w:rsidRPr="32419EB6" w:rsidR="2D373F42">
              <w:rPr>
                <w:rFonts w:ascii="Arial" w:hAnsi="Arial" w:eastAsia="Arial" w:cs="Arial"/>
                <w:sz w:val="22"/>
                <w:szCs w:val="22"/>
              </w:rPr>
              <w:t>or be</w:t>
            </w:r>
            <w:proofErr w:type="gramEnd"/>
            <w:r w:rsidRPr="32419EB6" w:rsidR="2D373F42">
              <w:rPr>
                <w:rFonts w:ascii="Arial" w:hAnsi="Arial" w:eastAsia="Arial" w:cs="Arial"/>
                <w:sz w:val="22"/>
                <w:szCs w:val="22"/>
              </w:rPr>
              <w:t xml:space="preserve"> custom made locally, regionally, nationally and globally</w:t>
            </w:r>
          </w:p>
          <w:p w:rsidR="2D373F42" w:rsidP="32419EB6" w:rsidRDefault="2D373F42" w14:paraId="041D6C71" w14:textId="407B28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2D373F42">
              <w:rPr>
                <w:rFonts w:ascii="Arial" w:hAnsi="Arial" w:eastAsia="Arial" w:cs="Arial"/>
                <w:sz w:val="22"/>
                <w:szCs w:val="22"/>
              </w:rPr>
              <w:t>That furniture has changed over time, regarding construction, design and function and can be classified into differing styles</w:t>
            </w:r>
          </w:p>
          <w:p w:rsidRPr="00403CDB" w:rsidR="00403CDB" w:rsidP="32419EB6" w:rsidRDefault="00403CDB" w14:paraId="3B1A153F" w14:textId="307EDF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2419EB6" w:rsidR="2D373F42">
              <w:rPr>
                <w:rFonts w:ascii="Arial" w:hAnsi="Arial" w:eastAsia="Arial" w:cs="Arial"/>
                <w:sz w:val="22"/>
                <w:szCs w:val="22"/>
              </w:rPr>
              <w:t>That furniture planning decisions should also factor human well-being (ergonomics)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2419EB6" w:rsidRDefault="00403CDB" w14:paraId="57008A15" w14:textId="5008B07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Examine how decorators select and place furniture to help shape and define space. </w:t>
            </w:r>
          </w:p>
          <w:p w:rsidRPr="00403CDB" w:rsidR="00403CDB" w:rsidP="32419EB6" w:rsidRDefault="00403CDB" w14:paraId="080638E4" w14:textId="61BC30F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Identify common types of </w:t>
            </w:r>
            <w:proofErr w:type="gramStart"/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furniture(</w:t>
            </w:r>
            <w:proofErr w:type="gramEnd"/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*1) to consider for residential and/or commercial settings. </w:t>
            </w:r>
          </w:p>
          <w:p w:rsidRPr="00403CDB" w:rsidR="00403CDB" w:rsidP="32419EB6" w:rsidRDefault="00403CDB" w14:paraId="54ACF264" w14:textId="5A89127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Differentiate between the standards of construction, quality and features of residential furniture and those of commercial furniture. </w:t>
            </w:r>
          </w:p>
          <w:p w:rsidRPr="00403CDB" w:rsidR="00403CDB" w:rsidP="32419EB6" w:rsidRDefault="00403CDB" w14:paraId="79E624C1" w14:textId="3A4383D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Examine factors to consider (*2) when selecting residential or commercial furniture. </w:t>
            </w:r>
          </w:p>
          <w:p w:rsidRPr="00403CDB" w:rsidR="00403CDB" w:rsidP="32419EB6" w:rsidRDefault="00403CDB" w14:paraId="13234179" w14:textId="07F69ED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Research options to acquire new, used or custom-made furniture locally, regionally, nationally and globally. </w:t>
            </w:r>
          </w:p>
          <w:p w:rsidRPr="00403CDB" w:rsidR="00403CDB" w:rsidP="32419EB6" w:rsidRDefault="00403CDB" w14:paraId="02FD7950" w14:textId="1415C6A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Contrast processes for purchasing residential and commercial furniture. </w:t>
            </w:r>
          </w:p>
          <w:p w:rsidRPr="00403CDB" w:rsidR="00403CDB" w:rsidP="32419EB6" w:rsidRDefault="00403CDB" w14:paraId="5EF4F917" w14:textId="6970D0F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Explore the history, construction, design and function of various types of furniture from select time periods (*3) </w:t>
            </w:r>
          </w:p>
          <w:p w:rsidRPr="00403CDB" w:rsidR="00403CDB" w:rsidP="32419EB6" w:rsidRDefault="00403CDB" w14:paraId="33166695" w14:textId="704B610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h. Compare the characteristics of various furniture styles (*4). </w:t>
            </w:r>
          </w:p>
          <w:p w:rsidRPr="00403CDB" w:rsidR="00403CDB" w:rsidP="32419EB6" w:rsidRDefault="00403CDB" w14:paraId="2C4091B3" w14:textId="34D7670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32419EB6" w:rsidR="5220D44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. Examine how ergonomics informs furniture planning decisions to optimize human well-being.</w:t>
            </w:r>
          </w:p>
        </w:tc>
      </w:tr>
      <w:tr w:rsidRPr="00403CDB" w:rsidR="00403CDB" w:rsidTr="32419EB6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2419EB6" w14:paraId="2780BFD4" w14:textId="77777777">
        <w:trPr>
          <w:trHeight w:val="855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2419EB6" w:rsidRDefault="00403CDB" w14:paraId="59C83C41" w14:textId="4769B9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419EB6" w:rsidR="00403CDB">
              <w:rPr>
                <w:rFonts w:ascii="Arial" w:hAnsi="Arial" w:eastAsia="Times New Roman" w:cs="Arial"/>
                <w:sz w:val="24"/>
                <w:szCs w:val="24"/>
              </w:rPr>
              <w:t xml:space="preserve">1. What furniture options are there? </w:t>
            </w:r>
          </w:p>
          <w:p w:rsidRPr="00403CDB" w:rsidR="00403CDB" w:rsidP="2D373F42" w:rsidRDefault="00403CDB" w14:paraId="58105D47" w14:textId="5396F0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419EB6" w:rsidR="00403CDB">
              <w:rPr>
                <w:rFonts w:ascii="Arial" w:hAnsi="Arial" w:eastAsia="Times New Roman" w:cs="Arial"/>
                <w:sz w:val="24"/>
                <w:szCs w:val="24"/>
              </w:rPr>
              <w:t>2. How do decorators make furniture decisions? What do they consider?</w:t>
            </w:r>
          </w:p>
          <w:p w:rsidRPr="00403CDB" w:rsidR="00403CDB" w:rsidP="2D373F42" w:rsidRDefault="00403CDB" w14:paraId="4D21DF4F" w14:textId="79DBB7C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2419EB6" w:rsidR="2D373F42">
              <w:rPr>
                <w:rFonts w:ascii="Arial" w:hAnsi="Arial" w:eastAsia="Times New Roman" w:cs="Arial"/>
                <w:sz w:val="24"/>
                <w:szCs w:val="24"/>
              </w:rPr>
              <w:t>3. Why has furniture changed so much over time?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410613A"/>
    <w:rsid w:val="06EDFFB8"/>
    <w:rsid w:val="0B624CF4"/>
    <w:rsid w:val="0C569C04"/>
    <w:rsid w:val="103E37BA"/>
    <w:rsid w:val="10CA941C"/>
    <w:rsid w:val="198C6DD0"/>
    <w:rsid w:val="1DC8520C"/>
    <w:rsid w:val="210C630C"/>
    <w:rsid w:val="23B69BE8"/>
    <w:rsid w:val="2906F2B3"/>
    <w:rsid w:val="2906F2B3"/>
    <w:rsid w:val="294DAE80"/>
    <w:rsid w:val="2951EAD2"/>
    <w:rsid w:val="2C91FF66"/>
    <w:rsid w:val="2D373F42"/>
    <w:rsid w:val="2DEF8B68"/>
    <w:rsid w:val="2EF3ACF7"/>
    <w:rsid w:val="321D1A2C"/>
    <w:rsid w:val="32419EB6"/>
    <w:rsid w:val="3875090F"/>
    <w:rsid w:val="3C54BA1D"/>
    <w:rsid w:val="3DB67D93"/>
    <w:rsid w:val="4168B9DF"/>
    <w:rsid w:val="43362005"/>
    <w:rsid w:val="48D9D1FF"/>
    <w:rsid w:val="490D9D9B"/>
    <w:rsid w:val="4A60F20C"/>
    <w:rsid w:val="4A75A260"/>
    <w:rsid w:val="4AF71BBF"/>
    <w:rsid w:val="4B91C327"/>
    <w:rsid w:val="4C1172C1"/>
    <w:rsid w:val="4EA56B87"/>
    <w:rsid w:val="5220D448"/>
    <w:rsid w:val="52333F48"/>
    <w:rsid w:val="52678BE8"/>
    <w:rsid w:val="55473EF9"/>
    <w:rsid w:val="555D95DC"/>
    <w:rsid w:val="5C5A9599"/>
    <w:rsid w:val="5EE62EF3"/>
    <w:rsid w:val="600519AC"/>
    <w:rsid w:val="600519AC"/>
    <w:rsid w:val="60257051"/>
    <w:rsid w:val="61B55C61"/>
    <w:rsid w:val="66042B95"/>
    <w:rsid w:val="68677A55"/>
    <w:rsid w:val="6C4F160B"/>
    <w:rsid w:val="6D8DF610"/>
    <w:rsid w:val="6ED5870F"/>
    <w:rsid w:val="6EE65D51"/>
    <w:rsid w:val="6EE65D51"/>
    <w:rsid w:val="70555F6A"/>
    <w:rsid w:val="73911D7E"/>
    <w:rsid w:val="791470B6"/>
    <w:rsid w:val="7976A6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DE989-E19D-45E4-9571-5B6CB0FD646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